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99" w:rsidRDefault="00896482" w:rsidP="00E31386">
      <w:pPr>
        <w:pStyle w:val="Ttulo1"/>
        <w:numPr>
          <w:ilvl w:val="0"/>
          <w:numId w:val="16"/>
        </w:numPr>
        <w:ind w:left="0"/>
      </w:pPr>
      <w:r w:rsidRPr="0045785A">
        <w:t>HECHOS RELEVANTES Y MEDIDAS CORRECTIVAS ADOPTADAS</w:t>
      </w:r>
    </w:p>
    <w:p w:rsidR="009C08C1" w:rsidRDefault="009C08C1" w:rsidP="009C08C1">
      <w:pPr>
        <w:pStyle w:val="Ttulo2"/>
        <w:numPr>
          <w:ilvl w:val="0"/>
          <w:numId w:val="0"/>
        </w:numPr>
      </w:pPr>
      <w:r>
        <w:t xml:space="preserve">3.1. </w:t>
      </w:r>
      <w:r w:rsidR="00F43BCD">
        <w:t>Situación</w:t>
      </w:r>
      <w:r>
        <w:t xml:space="preserve"> de la Obra</w:t>
      </w:r>
    </w:p>
    <w:p w:rsidR="00F43BCD" w:rsidRPr="00F43BCD" w:rsidRDefault="00F43BCD" w:rsidP="00F43BCD">
      <w:pPr>
        <w:rPr>
          <w:lang w:val="es-ES"/>
        </w:rPr>
      </w:pPr>
      <w:r w:rsidRPr="00F43BCD">
        <w:rPr>
          <w:lang w:val="es-ES"/>
        </w:rPr>
        <w:t>La fecha de inicio del plazo contractual de la obra es el 01 de junio del 2021 y la fecha de término contractual de obra será el 27 de diciembre del 2021.</w:t>
      </w:r>
    </w:p>
    <w:p w:rsidR="00F43BCD" w:rsidRPr="00F43BCD" w:rsidRDefault="00F43BCD" w:rsidP="00F43BCD">
      <w:pPr>
        <w:rPr>
          <w:lang w:val="es-ES"/>
        </w:rPr>
      </w:pPr>
      <w:r w:rsidRPr="00F43BCD">
        <w:rPr>
          <w:lang w:val="es-ES"/>
        </w:rPr>
        <w:t>La obra se viene desarrollando de acuerdo con los planos y especificaciones técnicas que contempla el expediente técnico.</w:t>
      </w:r>
    </w:p>
    <w:p w:rsidR="00F43BCD" w:rsidRPr="00F43BCD" w:rsidRDefault="00F43BCD" w:rsidP="00F43BCD">
      <w:pPr>
        <w:rPr>
          <w:lang w:val="es-ES"/>
        </w:rPr>
      </w:pPr>
      <w:r w:rsidRPr="00F43BCD">
        <w:rPr>
          <w:lang w:val="es-ES"/>
        </w:rPr>
        <w:t>Los trabajos ejecutados durante este periodo de reporte se reflejan en el resumen de metrados.</w:t>
      </w:r>
    </w:p>
    <w:p w:rsidR="00F43BCD" w:rsidRPr="00F43BCD" w:rsidRDefault="00F43BCD" w:rsidP="00F43BCD">
      <w:pPr>
        <w:pStyle w:val="Prrafodelista"/>
        <w:numPr>
          <w:ilvl w:val="0"/>
          <w:numId w:val="19"/>
        </w:numPr>
        <w:rPr>
          <w:lang w:val="es-ES"/>
        </w:rPr>
      </w:pPr>
      <w:r w:rsidRPr="00F43BCD">
        <w:rPr>
          <w:lang w:val="es-ES"/>
        </w:rPr>
        <w:t>Avance Económico programado del mes</w:t>
      </w:r>
      <w:r>
        <w:rPr>
          <w:lang w:val="es-ES"/>
        </w:rPr>
        <w:tab/>
      </w:r>
      <w:r>
        <w:rPr>
          <w:lang w:val="es-ES"/>
        </w:rPr>
        <w:tab/>
      </w:r>
      <w:r>
        <w:rPr>
          <w:lang w:val="es-ES"/>
        </w:rPr>
        <w:tab/>
      </w:r>
      <w:r w:rsidRPr="00F43BCD">
        <w:rPr>
          <w:lang w:val="es-ES"/>
        </w:rPr>
        <w:t>:</w:t>
      </w:r>
      <w:r w:rsidRPr="00F43BCD">
        <w:rPr>
          <w:lang w:val="es-ES"/>
        </w:rPr>
        <w:tab/>
        <w:t>4.06%</w:t>
      </w:r>
    </w:p>
    <w:p w:rsidR="00F43BCD" w:rsidRPr="00F43BCD" w:rsidRDefault="00F43BCD" w:rsidP="00F43BCD">
      <w:pPr>
        <w:pStyle w:val="Prrafodelista"/>
        <w:numPr>
          <w:ilvl w:val="0"/>
          <w:numId w:val="19"/>
        </w:numPr>
        <w:rPr>
          <w:lang w:val="es-ES"/>
        </w:rPr>
      </w:pPr>
      <w:r w:rsidRPr="00F43BCD">
        <w:rPr>
          <w:lang w:val="es-ES"/>
        </w:rPr>
        <w:t>Avance Económico programado acumu</w:t>
      </w:r>
      <w:r>
        <w:rPr>
          <w:lang w:val="es-ES"/>
        </w:rPr>
        <w:t>lado al mes</w:t>
      </w:r>
      <w:r>
        <w:rPr>
          <w:lang w:val="es-ES"/>
        </w:rPr>
        <w:tab/>
        <w:t>:</w:t>
      </w:r>
      <w:r>
        <w:rPr>
          <w:lang w:val="es-ES"/>
        </w:rPr>
        <w:tab/>
      </w:r>
      <w:r w:rsidRPr="00F43BCD">
        <w:rPr>
          <w:lang w:val="es-ES"/>
        </w:rPr>
        <w:t>4.06%</w:t>
      </w:r>
    </w:p>
    <w:p w:rsidR="00F43BCD" w:rsidRPr="00F43BCD" w:rsidRDefault="00F43BCD" w:rsidP="00F43BCD">
      <w:pPr>
        <w:pStyle w:val="Prrafodelista"/>
        <w:numPr>
          <w:ilvl w:val="0"/>
          <w:numId w:val="19"/>
        </w:numPr>
        <w:rPr>
          <w:lang w:val="es-ES"/>
        </w:rPr>
      </w:pPr>
      <w:r w:rsidRPr="00F43BCD">
        <w:rPr>
          <w:lang w:val="es-ES"/>
        </w:rPr>
        <w:t>Avance Económico ejecutado del mes</w:t>
      </w:r>
      <w:r>
        <w:rPr>
          <w:lang w:val="es-ES"/>
        </w:rPr>
        <w:tab/>
      </w:r>
      <w:r>
        <w:rPr>
          <w:lang w:val="es-ES"/>
        </w:rPr>
        <w:tab/>
      </w:r>
      <w:r>
        <w:rPr>
          <w:lang w:val="es-ES"/>
        </w:rPr>
        <w:tab/>
      </w:r>
      <w:r w:rsidRPr="00F43BCD">
        <w:rPr>
          <w:lang w:val="es-ES"/>
        </w:rPr>
        <w:t>:</w:t>
      </w:r>
      <w:r>
        <w:rPr>
          <w:lang w:val="es-ES"/>
        </w:rPr>
        <w:t xml:space="preserve">           9.92</w:t>
      </w:r>
      <w:r w:rsidRPr="00F43BCD">
        <w:rPr>
          <w:lang w:val="es-ES"/>
        </w:rPr>
        <w:t>%</w:t>
      </w:r>
    </w:p>
    <w:p w:rsidR="00F43BCD" w:rsidRPr="00F43BCD" w:rsidRDefault="00F43BCD" w:rsidP="00F43BCD">
      <w:pPr>
        <w:pStyle w:val="Prrafodelista"/>
        <w:numPr>
          <w:ilvl w:val="0"/>
          <w:numId w:val="19"/>
        </w:numPr>
        <w:rPr>
          <w:lang w:val="es-ES"/>
        </w:rPr>
      </w:pPr>
      <w:r w:rsidRPr="00F43BCD">
        <w:rPr>
          <w:lang w:val="es-ES"/>
        </w:rPr>
        <w:t>Avance Económico ejecutado acumulado al mes</w:t>
      </w:r>
      <w:r>
        <w:rPr>
          <w:lang w:val="es-ES"/>
        </w:rPr>
        <w:tab/>
      </w:r>
      <w:r>
        <w:rPr>
          <w:lang w:val="es-ES"/>
        </w:rPr>
        <w:tab/>
      </w:r>
      <w:r w:rsidRPr="00F43BCD">
        <w:rPr>
          <w:lang w:val="es-ES"/>
        </w:rPr>
        <w:t>:</w:t>
      </w:r>
      <w:r>
        <w:rPr>
          <w:lang w:val="es-ES"/>
        </w:rPr>
        <w:t xml:space="preserve">           9.92</w:t>
      </w:r>
      <w:r w:rsidRPr="00F43BCD">
        <w:rPr>
          <w:lang w:val="es-ES"/>
        </w:rPr>
        <w:t>%</w:t>
      </w:r>
    </w:p>
    <w:p w:rsidR="00F43BCD" w:rsidRPr="00F43BCD" w:rsidRDefault="00F43BCD" w:rsidP="00F43BCD">
      <w:pPr>
        <w:pStyle w:val="Prrafodelista"/>
        <w:numPr>
          <w:ilvl w:val="0"/>
          <w:numId w:val="19"/>
        </w:numPr>
        <w:rPr>
          <w:lang w:val="es-ES"/>
        </w:rPr>
      </w:pPr>
      <w:r w:rsidRPr="00F43BCD">
        <w:rPr>
          <w:lang w:val="es-ES"/>
        </w:rPr>
        <w:t xml:space="preserve">Estado de la </w:t>
      </w:r>
      <w:r>
        <w:rPr>
          <w:lang w:val="es-ES"/>
        </w:rPr>
        <w:t>Obra</w:t>
      </w:r>
      <w:r>
        <w:rPr>
          <w:lang w:val="es-ES"/>
        </w:rPr>
        <w:tab/>
      </w:r>
      <w:r>
        <w:rPr>
          <w:lang w:val="es-ES"/>
        </w:rPr>
        <w:tab/>
      </w:r>
      <w:r>
        <w:rPr>
          <w:lang w:val="es-ES"/>
        </w:rPr>
        <w:tab/>
      </w:r>
      <w:r>
        <w:rPr>
          <w:lang w:val="es-ES"/>
        </w:rPr>
        <w:tab/>
      </w:r>
      <w:r>
        <w:rPr>
          <w:lang w:val="es-ES"/>
        </w:rPr>
        <w:tab/>
        <w:t>:</w:t>
      </w:r>
      <w:r>
        <w:rPr>
          <w:b/>
          <w:lang w:val="es-ES"/>
        </w:rPr>
        <w:t>ADELANTADO  5.86</w:t>
      </w:r>
      <w:r w:rsidRPr="00F43BCD">
        <w:rPr>
          <w:b/>
          <w:lang w:val="es-ES"/>
        </w:rPr>
        <w:t>%</w:t>
      </w:r>
    </w:p>
    <w:p w:rsidR="00F43BCD" w:rsidRPr="00F43BCD" w:rsidRDefault="00F43BCD" w:rsidP="00F43BCD">
      <w:pPr>
        <w:pStyle w:val="Ttulo2"/>
        <w:numPr>
          <w:ilvl w:val="0"/>
          <w:numId w:val="0"/>
        </w:numPr>
      </w:pPr>
      <w:r>
        <w:t>3.2. Hechos Relevantes y medidas Correctivas Adoptadas</w:t>
      </w:r>
    </w:p>
    <w:p w:rsidR="00E31386" w:rsidRDefault="00E31386" w:rsidP="00E31386">
      <w:pPr>
        <w:pStyle w:val="Prrafodelista"/>
        <w:numPr>
          <w:ilvl w:val="1"/>
          <w:numId w:val="18"/>
        </w:numPr>
        <w:ind w:left="426" w:hanging="422"/>
      </w:pPr>
      <w:r>
        <w:t>El 01 de junio de 2021 se inició con la ejecución del proyecto, luego de que se difiera el inicio de plazo de ejecución de obra en virtud del Artículo Nº 176 del RLCE; numeral 176.9, debido a que la estacional climática no lo permitía, ya que impedía que se puedan realizar con normalidad los trabajos, que, de acuerdo al tipo de estos, era imposible ejecutarlos.</w:t>
      </w:r>
    </w:p>
    <w:p w:rsidR="00E31386" w:rsidRDefault="00E31386" w:rsidP="00E31386">
      <w:pPr>
        <w:pStyle w:val="Prrafodelista"/>
        <w:numPr>
          <w:ilvl w:val="1"/>
          <w:numId w:val="18"/>
        </w:numPr>
        <w:ind w:left="426" w:hanging="422"/>
      </w:pPr>
      <w:r>
        <w:t>El 02 de junio de 2021 se verifico coordinaciones con las autoridades locales, sobre los alcances del proyecto, con la finalidad de ejecutar los trabajos de manera coordinada con la población.</w:t>
      </w:r>
    </w:p>
    <w:p w:rsidR="00E31386" w:rsidRDefault="00E31386" w:rsidP="00E31386">
      <w:pPr>
        <w:pStyle w:val="Prrafodelista"/>
        <w:numPr>
          <w:ilvl w:val="1"/>
          <w:numId w:val="18"/>
        </w:numPr>
        <w:ind w:left="426" w:hanging="422"/>
      </w:pPr>
      <w:r>
        <w:t>Se verifico la colocación de un par</w:t>
      </w:r>
      <w:r w:rsidR="000357E6">
        <w:t xml:space="preserve"> de puntos</w:t>
      </w:r>
      <w:r>
        <w:t xml:space="preserve"> geodésico tipo C, </w:t>
      </w:r>
      <w:proofErr w:type="spellStart"/>
      <w:r>
        <w:t>monumentados</w:t>
      </w:r>
      <w:proofErr w:type="spellEnd"/>
      <w:r>
        <w:t xml:space="preserve"> con placas de bronce, que servirá para estacionamiento y referencia, para el control topográfico tanto de la vía como de las obras de arte.</w:t>
      </w:r>
    </w:p>
    <w:p w:rsidR="00E31386" w:rsidRDefault="00E31386" w:rsidP="00E31386">
      <w:pPr>
        <w:pStyle w:val="Prrafodelista"/>
        <w:numPr>
          <w:ilvl w:val="1"/>
          <w:numId w:val="18"/>
        </w:numPr>
        <w:ind w:left="426" w:hanging="422"/>
      </w:pPr>
      <w:r>
        <w:t xml:space="preserve">El 23 de junio de 2021 hubo visita a obra por parte del </w:t>
      </w:r>
      <w:r w:rsidR="000357E6">
        <w:t xml:space="preserve">Gobernador Regional </w:t>
      </w:r>
      <w:r>
        <w:t xml:space="preserve">de Cajamarca Ing. Mesías Guevara </w:t>
      </w:r>
      <w:proofErr w:type="spellStart"/>
      <w:r>
        <w:t>Amasifuén</w:t>
      </w:r>
      <w:proofErr w:type="spellEnd"/>
      <w:r>
        <w:t>, además junto a é</w:t>
      </w:r>
      <w:r w:rsidR="000357E6">
        <w:t>l también estuvo el Gerente de la Gerencia</w:t>
      </w:r>
      <w:r>
        <w:t xml:space="preserve"> Sub Regional Chota y sus funcionarios, con la finalidad de verificar el desarrollo de los trabajos, para que se puedan realizar de manera responsable y eficiente.</w:t>
      </w:r>
      <w:bookmarkStart w:id="0" w:name="_GoBack"/>
      <w:bookmarkEnd w:id="0"/>
    </w:p>
    <w:p w:rsidR="00E31386" w:rsidRDefault="008169C5" w:rsidP="00E31386">
      <w:pPr>
        <w:pStyle w:val="Prrafodelista"/>
        <w:numPr>
          <w:ilvl w:val="1"/>
          <w:numId w:val="18"/>
        </w:numPr>
        <w:ind w:left="426" w:hanging="422"/>
      </w:pPr>
      <w:r>
        <w:t>El 25 de junio de 2021 se verifico</w:t>
      </w:r>
      <w:r w:rsidR="00E31386">
        <w:t xml:space="preserve"> coordinaciones con las autoridades locales, así como también con los propietarios de los predios por donde pasa la vía, con la finalidad de acordar el empleo de la mano de obra no calificada, la misma que será exclusivamente de la población local.</w:t>
      </w:r>
    </w:p>
    <w:p w:rsidR="000D7E7F" w:rsidRPr="00695572" w:rsidRDefault="008169C5" w:rsidP="00695572">
      <w:pPr>
        <w:pStyle w:val="Prrafodelista"/>
        <w:numPr>
          <w:ilvl w:val="1"/>
          <w:numId w:val="18"/>
        </w:numPr>
        <w:ind w:left="426" w:hanging="422"/>
      </w:pPr>
      <w:r>
        <w:t>El 30 de junio de 2021 se verifico</w:t>
      </w:r>
      <w:r w:rsidR="00E31386">
        <w:t xml:space="preserve"> coordinaciones con las autoridades locales: presidente de rondas y teniente gobernador, con la finalidad de informar acerca del desarrollo de la obra.</w:t>
      </w:r>
    </w:p>
    <w:sectPr w:rsidR="000D7E7F" w:rsidRPr="0069557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87" w:rsidRDefault="00A95887" w:rsidP="000D7E7F">
      <w:pPr>
        <w:spacing w:after="0" w:line="240" w:lineRule="auto"/>
      </w:pPr>
      <w:r>
        <w:separator/>
      </w:r>
    </w:p>
  </w:endnote>
  <w:endnote w:type="continuationSeparator" w:id="0">
    <w:p w:rsidR="00A95887" w:rsidRDefault="00A95887" w:rsidP="000D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C1" w:rsidRPr="00FC206C" w:rsidRDefault="009C08C1" w:rsidP="000D7E7F">
    <w:pPr>
      <w:pStyle w:val="Encabezado"/>
      <w:pBdr>
        <w:bottom w:val="thickThinSmallGap" w:sz="24" w:space="2" w:color="4BACC6"/>
      </w:pBdr>
      <w:tabs>
        <w:tab w:val="right" w:pos="9072"/>
      </w:tabs>
      <w:rPr>
        <w:sz w:val="4"/>
        <w:szCs w:val="4"/>
      </w:rPr>
    </w:pPr>
  </w:p>
  <w:p w:rsidR="009C08C1" w:rsidRPr="004542A0" w:rsidRDefault="009C08C1" w:rsidP="000D7E7F">
    <w:pPr>
      <w:pStyle w:val="Piedepgina"/>
      <w:jc w:val="center"/>
      <w:rPr>
        <w:rFonts w:ascii="BankGothic Lt BT" w:hAnsi="BankGothic Lt BT"/>
        <w:b/>
        <w:sz w:val="16"/>
        <w:szCs w:val="16"/>
      </w:rPr>
    </w:pPr>
    <w:r w:rsidRPr="004542A0">
      <w:rPr>
        <w:rFonts w:ascii="BankGothic Lt BT" w:hAnsi="BankGothic Lt BT"/>
        <w:b/>
        <w:sz w:val="16"/>
        <w:szCs w:val="16"/>
      </w:rPr>
      <w:t>CONSORCIO SUPERVISOR CALLACTE</w:t>
    </w:r>
  </w:p>
  <w:p w:rsidR="009C08C1" w:rsidRPr="000D7E7F" w:rsidRDefault="009C08C1" w:rsidP="000D7E7F">
    <w:pPr>
      <w:pStyle w:val="Piedepgina"/>
      <w:jc w:val="center"/>
      <w:rPr>
        <w:rFonts w:ascii="BankGothic Lt BT" w:hAnsi="BankGothic Lt BT"/>
        <w:b/>
        <w:sz w:val="16"/>
        <w:szCs w:val="16"/>
      </w:rPr>
    </w:pPr>
    <w:r w:rsidRPr="00413EFF">
      <w:rPr>
        <w:rFonts w:ascii="BankGothic Lt BT" w:hAnsi="BankGothic Lt BT"/>
        <w:b/>
        <w:sz w:val="16"/>
        <w:szCs w:val="16"/>
      </w:rPr>
      <w:t>Jr. Santa Rosa N° 311 – Chota – Chota - Cajamarca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87" w:rsidRDefault="00A95887" w:rsidP="000D7E7F">
      <w:pPr>
        <w:spacing w:after="0" w:line="240" w:lineRule="auto"/>
      </w:pPr>
      <w:r>
        <w:separator/>
      </w:r>
    </w:p>
  </w:footnote>
  <w:footnote w:type="continuationSeparator" w:id="0">
    <w:p w:rsidR="00A95887" w:rsidRDefault="00A95887" w:rsidP="000D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C1" w:rsidRPr="000D7E7F" w:rsidRDefault="009C08C1" w:rsidP="000D7E7F">
    <w:pPr>
      <w:pStyle w:val="Encabezado"/>
      <w:pBdr>
        <w:bottom w:val="thickThinSmallGap" w:sz="24" w:space="1" w:color="4BACC6"/>
      </w:pBdr>
      <w:spacing w:before="120"/>
      <w:jc w:val="center"/>
      <w:rPr>
        <w:rFonts w:ascii="Baskerville Old Face" w:hAnsi="Baskerville Old Face" w:cs="Arial"/>
        <w:b/>
        <w:color w:val="2F5496" w:themeColor="accent1" w:themeShade="BF"/>
        <w:sz w:val="44"/>
        <w:szCs w:val="44"/>
      </w:rPr>
    </w:pPr>
    <w:r w:rsidRPr="00F878A8">
      <w:rPr>
        <w:rFonts w:ascii="Baskerville Old Face" w:hAnsi="Baskerville Old Face" w:cs="Arial"/>
        <w:b/>
        <w:color w:val="2F5496" w:themeColor="accent1" w:themeShade="BF"/>
        <w:sz w:val="44"/>
        <w:szCs w:val="44"/>
      </w:rPr>
      <w:t>CONSORCIO SUPERVISOR CALLACATE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5AC"/>
    <w:multiLevelType w:val="hybridMultilevel"/>
    <w:tmpl w:val="A1CCBA04"/>
    <w:lvl w:ilvl="0" w:tplc="E7DEBDFA">
      <w:start w:val="1"/>
      <w:numFmt w:val="decimal"/>
      <w:lvlText w:val="5.%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0B1E328A"/>
    <w:multiLevelType w:val="hybridMultilevel"/>
    <w:tmpl w:val="3D44C2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641F08"/>
    <w:multiLevelType w:val="multilevel"/>
    <w:tmpl w:val="51E66BA8"/>
    <w:lvl w:ilvl="0">
      <w:start w:val="1"/>
      <w:numFmt w:val="decimal"/>
      <w:lvlText w:val="3.%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8D3C4A"/>
    <w:multiLevelType w:val="hybridMultilevel"/>
    <w:tmpl w:val="F1447D2C"/>
    <w:lvl w:ilvl="0" w:tplc="83D8617A">
      <w:start w:val="1"/>
      <w:numFmt w:val="decimal"/>
      <w:lvlText w:val="12.%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30D80634"/>
    <w:multiLevelType w:val="hybridMultilevel"/>
    <w:tmpl w:val="F3C8D7C4"/>
    <w:lvl w:ilvl="0" w:tplc="29A88B30">
      <w:start w:val="1"/>
      <w:numFmt w:val="decimal"/>
      <w:lvlText w:val="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41F48C6"/>
    <w:multiLevelType w:val="hybridMultilevel"/>
    <w:tmpl w:val="3F0E616A"/>
    <w:lvl w:ilvl="0" w:tplc="B2284934">
      <w:start w:val="1"/>
      <w:numFmt w:val="decimal"/>
      <w:pStyle w:val="Ttulo2"/>
      <w:lvlText w:val="1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CA540E7"/>
    <w:multiLevelType w:val="hybridMultilevel"/>
    <w:tmpl w:val="10AAACA0"/>
    <w:lvl w:ilvl="0" w:tplc="E2708854">
      <w:start w:val="1"/>
      <w:numFmt w:val="decimal"/>
      <w:lvlText w:val="5.%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CEB54FD"/>
    <w:multiLevelType w:val="hybridMultilevel"/>
    <w:tmpl w:val="8F36910A"/>
    <w:lvl w:ilvl="0" w:tplc="0F1ABB78">
      <w:start w:val="1"/>
      <w:numFmt w:val="decimal"/>
      <w:lvlText w:val="4.%1."/>
      <w:lvlJc w:val="left"/>
      <w:pPr>
        <w:ind w:left="1418" w:hanging="360"/>
      </w:pPr>
      <w:rPr>
        <w:rFonts w:hint="default"/>
      </w:rPr>
    </w:lvl>
    <w:lvl w:ilvl="1" w:tplc="280A0019" w:tentative="1">
      <w:start w:val="1"/>
      <w:numFmt w:val="lowerLetter"/>
      <w:lvlText w:val="%2."/>
      <w:lvlJc w:val="left"/>
      <w:pPr>
        <w:ind w:left="2138" w:hanging="360"/>
      </w:pPr>
    </w:lvl>
    <w:lvl w:ilvl="2" w:tplc="280A001B" w:tentative="1">
      <w:start w:val="1"/>
      <w:numFmt w:val="lowerRoman"/>
      <w:lvlText w:val="%3."/>
      <w:lvlJc w:val="right"/>
      <w:pPr>
        <w:ind w:left="2858" w:hanging="180"/>
      </w:pPr>
    </w:lvl>
    <w:lvl w:ilvl="3" w:tplc="280A000F" w:tentative="1">
      <w:start w:val="1"/>
      <w:numFmt w:val="decimal"/>
      <w:lvlText w:val="%4."/>
      <w:lvlJc w:val="left"/>
      <w:pPr>
        <w:ind w:left="3578" w:hanging="360"/>
      </w:pPr>
    </w:lvl>
    <w:lvl w:ilvl="4" w:tplc="280A0019" w:tentative="1">
      <w:start w:val="1"/>
      <w:numFmt w:val="lowerLetter"/>
      <w:lvlText w:val="%5."/>
      <w:lvlJc w:val="left"/>
      <w:pPr>
        <w:ind w:left="4298" w:hanging="360"/>
      </w:pPr>
    </w:lvl>
    <w:lvl w:ilvl="5" w:tplc="280A001B" w:tentative="1">
      <w:start w:val="1"/>
      <w:numFmt w:val="lowerRoman"/>
      <w:lvlText w:val="%6."/>
      <w:lvlJc w:val="right"/>
      <w:pPr>
        <w:ind w:left="5018" w:hanging="180"/>
      </w:pPr>
    </w:lvl>
    <w:lvl w:ilvl="6" w:tplc="280A000F" w:tentative="1">
      <w:start w:val="1"/>
      <w:numFmt w:val="decimal"/>
      <w:lvlText w:val="%7."/>
      <w:lvlJc w:val="left"/>
      <w:pPr>
        <w:ind w:left="5738" w:hanging="360"/>
      </w:pPr>
    </w:lvl>
    <w:lvl w:ilvl="7" w:tplc="280A0019" w:tentative="1">
      <w:start w:val="1"/>
      <w:numFmt w:val="lowerLetter"/>
      <w:lvlText w:val="%8."/>
      <w:lvlJc w:val="left"/>
      <w:pPr>
        <w:ind w:left="6458" w:hanging="360"/>
      </w:pPr>
    </w:lvl>
    <w:lvl w:ilvl="8" w:tplc="280A001B" w:tentative="1">
      <w:start w:val="1"/>
      <w:numFmt w:val="lowerRoman"/>
      <w:lvlText w:val="%9."/>
      <w:lvlJc w:val="right"/>
      <w:pPr>
        <w:ind w:left="7178" w:hanging="180"/>
      </w:pPr>
    </w:lvl>
  </w:abstractNum>
  <w:abstractNum w:abstractNumId="8" w15:restartNumberingAfterBreak="0">
    <w:nsid w:val="3FF71DB8"/>
    <w:multiLevelType w:val="hybridMultilevel"/>
    <w:tmpl w:val="9BC67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0467C7F"/>
    <w:multiLevelType w:val="multilevel"/>
    <w:tmpl w:val="C512E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1AC3692"/>
    <w:multiLevelType w:val="hybridMultilevel"/>
    <w:tmpl w:val="6C4AAB56"/>
    <w:lvl w:ilvl="0" w:tplc="50065FB4">
      <w:start w:val="1"/>
      <w:numFmt w:val="decimal"/>
      <w:lvlText w:val="%1.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5035547A"/>
    <w:multiLevelType w:val="hybridMultilevel"/>
    <w:tmpl w:val="84C27D94"/>
    <w:lvl w:ilvl="0" w:tplc="46966AD6">
      <w:start w:val="3"/>
      <w:numFmt w:val="upperRoman"/>
      <w:lvlText w:val="%1."/>
      <w:lvlJc w:val="left"/>
      <w:pPr>
        <w:ind w:left="1080" w:hanging="720"/>
      </w:pPr>
      <w:rPr>
        <w:rFonts w:hint="default"/>
      </w:rPr>
    </w:lvl>
    <w:lvl w:ilvl="1" w:tplc="18688E0C">
      <w:numFmt w:val="bullet"/>
      <w:lvlText w:val="-"/>
      <w:lvlJc w:val="left"/>
      <w:pPr>
        <w:ind w:left="1785" w:hanging="705"/>
      </w:pPr>
      <w:rPr>
        <w:rFonts w:ascii="Arial" w:eastAsiaTheme="minorHAnsi"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07B4C8E"/>
    <w:multiLevelType w:val="hybridMultilevel"/>
    <w:tmpl w:val="7142819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20B3B18"/>
    <w:multiLevelType w:val="hybridMultilevel"/>
    <w:tmpl w:val="79F4172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3775654"/>
    <w:multiLevelType w:val="hybridMultilevel"/>
    <w:tmpl w:val="38E4E186"/>
    <w:lvl w:ilvl="0" w:tplc="46966AD6">
      <w:start w:val="3"/>
      <w:numFmt w:val="upperRoman"/>
      <w:lvlText w:val="%1."/>
      <w:lvlJc w:val="left"/>
      <w:pPr>
        <w:ind w:left="1080" w:hanging="720"/>
      </w:pPr>
      <w:rPr>
        <w:rFonts w:hint="default"/>
      </w:rPr>
    </w:lvl>
    <w:lvl w:ilvl="1" w:tplc="280A0001">
      <w:start w:val="1"/>
      <w:numFmt w:val="bullet"/>
      <w:lvlText w:val=""/>
      <w:lvlJc w:val="left"/>
      <w:pPr>
        <w:ind w:left="1785" w:hanging="705"/>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A176179"/>
    <w:multiLevelType w:val="hybridMultilevel"/>
    <w:tmpl w:val="524E03CC"/>
    <w:lvl w:ilvl="0" w:tplc="E7DEBDFA">
      <w:start w:val="1"/>
      <w:numFmt w:val="decimal"/>
      <w:lvlText w:val="5.%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60FC7814"/>
    <w:multiLevelType w:val="multilevel"/>
    <w:tmpl w:val="D52C7BCE"/>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3C321B"/>
    <w:multiLevelType w:val="hybridMultilevel"/>
    <w:tmpl w:val="580C348A"/>
    <w:lvl w:ilvl="0" w:tplc="83D8617A">
      <w:start w:val="1"/>
      <w:numFmt w:val="decimal"/>
      <w:lvlText w:val="12.%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714776EE"/>
    <w:multiLevelType w:val="hybridMultilevel"/>
    <w:tmpl w:val="BA26CA12"/>
    <w:lvl w:ilvl="0" w:tplc="AF8628B4">
      <w:start w:val="1"/>
      <w:numFmt w:val="decimal"/>
      <w:lvlText w:val="1.%1."/>
      <w:lvlJc w:val="left"/>
      <w:pPr>
        <w:ind w:left="1080" w:hanging="360"/>
      </w:pPr>
      <w:rPr>
        <w:rFonts w:hint="default"/>
        <w:b/>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4"/>
  </w:num>
  <w:num w:numId="2">
    <w:abstractNumId w:val="9"/>
  </w:num>
  <w:num w:numId="3">
    <w:abstractNumId w:val="12"/>
  </w:num>
  <w:num w:numId="4">
    <w:abstractNumId w:val="13"/>
  </w:num>
  <w:num w:numId="5">
    <w:abstractNumId w:val="16"/>
  </w:num>
  <w:num w:numId="6">
    <w:abstractNumId w:val="2"/>
  </w:num>
  <w:num w:numId="7">
    <w:abstractNumId w:val="7"/>
  </w:num>
  <w:num w:numId="8">
    <w:abstractNumId w:val="15"/>
  </w:num>
  <w:num w:numId="9">
    <w:abstractNumId w:val="6"/>
  </w:num>
  <w:num w:numId="10">
    <w:abstractNumId w:val="17"/>
  </w:num>
  <w:num w:numId="11">
    <w:abstractNumId w:val="3"/>
  </w:num>
  <w:num w:numId="12">
    <w:abstractNumId w:val="0"/>
  </w:num>
  <w:num w:numId="13">
    <w:abstractNumId w:val="5"/>
  </w:num>
  <w:num w:numId="14">
    <w:abstractNumId w:val="10"/>
  </w:num>
  <w:num w:numId="15">
    <w:abstractNumId w:val="18"/>
  </w:num>
  <w:num w:numId="16">
    <w:abstractNumId w:val="11"/>
  </w:num>
  <w:num w:numId="17">
    <w:abstractNumId w:val="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92"/>
    <w:rsid w:val="000357E6"/>
    <w:rsid w:val="000A0687"/>
    <w:rsid w:val="000D7E7F"/>
    <w:rsid w:val="000E011C"/>
    <w:rsid w:val="001236EA"/>
    <w:rsid w:val="00181DC5"/>
    <w:rsid w:val="002200A9"/>
    <w:rsid w:val="002F492A"/>
    <w:rsid w:val="003263A6"/>
    <w:rsid w:val="003D4FDE"/>
    <w:rsid w:val="00407731"/>
    <w:rsid w:val="004560C5"/>
    <w:rsid w:val="0045785A"/>
    <w:rsid w:val="004736CD"/>
    <w:rsid w:val="004E216B"/>
    <w:rsid w:val="004F5C2D"/>
    <w:rsid w:val="00500D68"/>
    <w:rsid w:val="00553299"/>
    <w:rsid w:val="005C19A0"/>
    <w:rsid w:val="00695572"/>
    <w:rsid w:val="006A59AF"/>
    <w:rsid w:val="0074001D"/>
    <w:rsid w:val="00794CC6"/>
    <w:rsid w:val="007A1A1C"/>
    <w:rsid w:val="007B5FEC"/>
    <w:rsid w:val="007F153E"/>
    <w:rsid w:val="008169C5"/>
    <w:rsid w:val="00896482"/>
    <w:rsid w:val="008C0109"/>
    <w:rsid w:val="009A3DF0"/>
    <w:rsid w:val="009B2DB4"/>
    <w:rsid w:val="009C08C1"/>
    <w:rsid w:val="009E7E0A"/>
    <w:rsid w:val="00A95887"/>
    <w:rsid w:val="00AC47D6"/>
    <w:rsid w:val="00B93F34"/>
    <w:rsid w:val="00C96858"/>
    <w:rsid w:val="00CA7FAF"/>
    <w:rsid w:val="00CB4777"/>
    <w:rsid w:val="00CD6752"/>
    <w:rsid w:val="00CE6E92"/>
    <w:rsid w:val="00D00B4B"/>
    <w:rsid w:val="00D34B5E"/>
    <w:rsid w:val="00E31386"/>
    <w:rsid w:val="00E51062"/>
    <w:rsid w:val="00ED66F8"/>
    <w:rsid w:val="00ED6F8E"/>
    <w:rsid w:val="00F43BCD"/>
    <w:rsid w:val="00F57F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9477"/>
  <w15:chartTrackingRefBased/>
  <w15:docId w15:val="{4C531851-572E-40CA-9D41-5E207AC1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7F"/>
    <w:pPr>
      <w:jc w:val="both"/>
    </w:pPr>
    <w:rPr>
      <w:rFonts w:ascii="Arial" w:hAnsi="Arial"/>
    </w:rPr>
  </w:style>
  <w:style w:type="paragraph" w:styleId="Ttulo1">
    <w:name w:val="heading 1"/>
    <w:basedOn w:val="Normal"/>
    <w:next w:val="Normal"/>
    <w:link w:val="Ttulo1Car"/>
    <w:uiPriority w:val="9"/>
    <w:qFormat/>
    <w:rsid w:val="00C96858"/>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E51062"/>
    <w:pPr>
      <w:keepNext/>
      <w:keepLines/>
      <w:numPr>
        <w:numId w:val="13"/>
      </w:numPr>
      <w:spacing w:before="240" w:after="120" w:line="360" w:lineRule="auto"/>
      <w:outlineLvl w:val="1"/>
    </w:pPr>
    <w:rPr>
      <w:rFonts w:eastAsiaTheme="majorEastAsia" w:cs="Arial"/>
      <w:b/>
      <w:szCs w:val="24"/>
      <w:lang w:val="es-ES"/>
    </w:rPr>
  </w:style>
  <w:style w:type="paragraph" w:styleId="Ttulo3">
    <w:name w:val="heading 3"/>
    <w:basedOn w:val="Normal"/>
    <w:next w:val="Normal"/>
    <w:link w:val="Ttulo3Car"/>
    <w:uiPriority w:val="9"/>
    <w:semiHidden/>
    <w:unhideWhenUsed/>
    <w:qFormat/>
    <w:rsid w:val="000D7E7F"/>
    <w:pPr>
      <w:keepNext/>
      <w:keepLines/>
      <w:spacing w:before="40" w:after="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51062"/>
    <w:rPr>
      <w:rFonts w:ascii="Arial" w:eastAsiaTheme="majorEastAsia" w:hAnsi="Arial" w:cs="Arial"/>
      <w:b/>
      <w:szCs w:val="24"/>
      <w:lang w:val="es-ES"/>
    </w:rPr>
  </w:style>
  <w:style w:type="paragraph" w:styleId="Encabezado">
    <w:name w:val="header"/>
    <w:aliases w:val="maria, Car1,encabezado,Encabezado1,Car1,de1,tda,Encabezado 2,h"/>
    <w:basedOn w:val="Normal"/>
    <w:link w:val="EncabezadoCar"/>
    <w:uiPriority w:val="99"/>
    <w:unhideWhenUsed/>
    <w:rsid w:val="000D7E7F"/>
    <w:pPr>
      <w:tabs>
        <w:tab w:val="center" w:pos="4252"/>
        <w:tab w:val="right" w:pos="8504"/>
      </w:tabs>
      <w:spacing w:after="0" w:line="240" w:lineRule="auto"/>
    </w:pPr>
  </w:style>
  <w:style w:type="character" w:customStyle="1" w:styleId="EncabezadoCar">
    <w:name w:val="Encabezado Car"/>
    <w:aliases w:val="maria Car, Car1 Car,encabezado Car,Encabezado1 Car,Car1 Car,de1 Car,tda Car,Encabezado 2 Car,h Car"/>
    <w:basedOn w:val="Fuentedeprrafopredeter"/>
    <w:link w:val="Encabezado"/>
    <w:uiPriority w:val="99"/>
    <w:rsid w:val="000D7E7F"/>
  </w:style>
  <w:style w:type="paragraph" w:styleId="Piedepgina">
    <w:name w:val="footer"/>
    <w:aliases w:val="pie de página,Pie de página Car Car Car,Pie de página1,Pie de página Car Car"/>
    <w:basedOn w:val="Normal"/>
    <w:link w:val="PiedepginaCar"/>
    <w:unhideWhenUsed/>
    <w:rsid w:val="000D7E7F"/>
    <w:pPr>
      <w:tabs>
        <w:tab w:val="center" w:pos="4252"/>
        <w:tab w:val="right" w:pos="8504"/>
      </w:tabs>
      <w:spacing w:after="0" w:line="240" w:lineRule="auto"/>
    </w:pPr>
  </w:style>
  <w:style w:type="character" w:customStyle="1" w:styleId="PiedepginaCar">
    <w:name w:val="Pie de página Car"/>
    <w:aliases w:val="pie de página Car,Pie de página Car Car Car Car,Pie de página1 Car,Pie de página Car Car Car1"/>
    <w:basedOn w:val="Fuentedeprrafopredeter"/>
    <w:link w:val="Piedepgina"/>
    <w:rsid w:val="000D7E7F"/>
  </w:style>
  <w:style w:type="character" w:customStyle="1" w:styleId="Ttulo1Car">
    <w:name w:val="Título 1 Car"/>
    <w:basedOn w:val="Fuentedeprrafopredeter"/>
    <w:link w:val="Ttulo1"/>
    <w:uiPriority w:val="9"/>
    <w:rsid w:val="00C96858"/>
    <w:rPr>
      <w:rFonts w:ascii="Arial" w:eastAsiaTheme="majorEastAsia" w:hAnsi="Arial" w:cstheme="majorBidi"/>
      <w:b/>
      <w:szCs w:val="32"/>
    </w:rPr>
  </w:style>
  <w:style w:type="character" w:customStyle="1" w:styleId="Ttulo3Car">
    <w:name w:val="Título 3 Car"/>
    <w:basedOn w:val="Fuentedeprrafopredeter"/>
    <w:link w:val="Ttulo3"/>
    <w:uiPriority w:val="9"/>
    <w:semiHidden/>
    <w:rsid w:val="000D7E7F"/>
    <w:rPr>
      <w:rFonts w:ascii="Arial" w:eastAsiaTheme="majorEastAsia" w:hAnsi="Arial" w:cstheme="majorBidi"/>
      <w:b/>
      <w:szCs w:val="24"/>
    </w:rPr>
  </w:style>
  <w:style w:type="paragraph" w:styleId="Prrafodelista">
    <w:name w:val="List Paragraph"/>
    <w:basedOn w:val="Normal"/>
    <w:uiPriority w:val="34"/>
    <w:qFormat/>
    <w:rsid w:val="00C96858"/>
    <w:pPr>
      <w:ind w:left="720"/>
      <w:contextualSpacing/>
    </w:pPr>
  </w:style>
  <w:style w:type="paragraph" w:styleId="TtuloTDC">
    <w:name w:val="TOC Heading"/>
    <w:basedOn w:val="Ttulo1"/>
    <w:next w:val="Normal"/>
    <w:uiPriority w:val="39"/>
    <w:unhideWhenUsed/>
    <w:qFormat/>
    <w:rsid w:val="0045785A"/>
    <w:pPr>
      <w:jc w:val="left"/>
      <w:outlineLvl w:val="9"/>
    </w:pPr>
    <w:rPr>
      <w:rFonts w:asciiTheme="majorHAnsi" w:hAnsiTheme="majorHAnsi"/>
      <w:b w:val="0"/>
      <w:color w:val="2F5496" w:themeColor="accent1" w:themeShade="BF"/>
      <w:sz w:val="32"/>
      <w:lang w:eastAsia="es-PE"/>
    </w:rPr>
  </w:style>
  <w:style w:type="paragraph" w:styleId="TDC1">
    <w:name w:val="toc 1"/>
    <w:basedOn w:val="Normal"/>
    <w:next w:val="Normal"/>
    <w:autoRedefine/>
    <w:uiPriority w:val="39"/>
    <w:unhideWhenUsed/>
    <w:rsid w:val="00CD6752"/>
    <w:pPr>
      <w:tabs>
        <w:tab w:val="left" w:pos="440"/>
        <w:tab w:val="right" w:leader="dot" w:pos="8494"/>
      </w:tabs>
      <w:spacing w:after="100"/>
    </w:pPr>
  </w:style>
  <w:style w:type="character" w:styleId="Hipervnculo">
    <w:name w:val="Hyperlink"/>
    <w:basedOn w:val="Fuentedeprrafopredeter"/>
    <w:uiPriority w:val="99"/>
    <w:unhideWhenUsed/>
    <w:rsid w:val="0045785A"/>
    <w:rPr>
      <w:color w:val="0563C1" w:themeColor="hyperlink"/>
      <w:u w:val="single"/>
    </w:rPr>
  </w:style>
  <w:style w:type="paragraph" w:styleId="TDC2">
    <w:name w:val="toc 2"/>
    <w:basedOn w:val="Normal"/>
    <w:next w:val="Normal"/>
    <w:autoRedefine/>
    <w:uiPriority w:val="39"/>
    <w:unhideWhenUsed/>
    <w:rsid w:val="002200A9"/>
    <w:pPr>
      <w:spacing w:after="100"/>
      <w:ind w:left="220"/>
    </w:pPr>
  </w:style>
  <w:style w:type="paragraph" w:styleId="Textodeglobo">
    <w:name w:val="Balloon Text"/>
    <w:basedOn w:val="Normal"/>
    <w:link w:val="TextodegloboCar"/>
    <w:uiPriority w:val="99"/>
    <w:semiHidden/>
    <w:unhideWhenUsed/>
    <w:rsid w:val="00CA7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82AD-8A01-41BF-8596-E12A77AB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cp:lastPrinted>2021-07-14T00:32:00Z</cp:lastPrinted>
  <dcterms:created xsi:type="dcterms:W3CDTF">2021-07-08T22:48:00Z</dcterms:created>
  <dcterms:modified xsi:type="dcterms:W3CDTF">2021-07-14T00:32:00Z</dcterms:modified>
</cp:coreProperties>
</file>